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spacing w:after="0" w:line="240" w:lineRule="auto"/>
        <w:ind w:firstLine="360"/>
        <w:shd w:val="clear" w:color="auto" w:fill="FFFFFF"/>
        <w:rPr>
          <w:b w:val="1"/>
          <w:color w:val="111111"/>
          <w:rFonts w:ascii="Times New Roman" w:cs="Times New Roman" w:eastAsia="Times New Roman" w:hAnsi="Times New Roman"/>
          <w:lang w:eastAsia="ru-ru"/>
        </w:rPr>
      </w:pPr>
      <w:r>
        <w:rPr>
          <w:b w:val="1"/>
          <w:color w:val="111111"/>
          <w:rFonts w:ascii="Times New Roman" w:cs="Times New Roman" w:eastAsia="Times New Roman" w:hAnsi="Times New Roman"/>
          <w:lang w:bidi="ar-sa" w:eastAsia="ru-ru"/>
        </w:rPr>
        <w:t>Консультация для воспитателей: «Особенности и формы организации речевой среды с учетом новой программы, возраста детей»</w:t>
      </w:r>
    </w:p>
    <w:p>
      <w:pPr>
        <w:spacing w:after="0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</w:p>
    <w:p>
      <w:pPr>
        <w:spacing w:after="0" w:line="240" w:lineRule="auto"/>
        <w:ind w:firstLine="360"/>
        <w:shd w:val="clear" w:color="auto" w:fill="FFFFFF"/>
        <w:rPr>
          <w:b w:val="1"/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 xml:space="preserve">                                                         </w:t>
      </w:r>
      <w:r>
        <w:rPr>
          <w:b w:val="1"/>
          <w:color w:val="111111"/>
          <w:rFonts w:ascii="Times New Roman" w:cs="Times New Roman" w:eastAsia="Times New Roman" w:hAnsi="Times New Roman"/>
          <w:lang w:bidi="ar-sa" w:eastAsia="ru-ru"/>
        </w:rPr>
        <w:t>Подготовила  воспитатель МДОУ "ДС № 5"  Колесник Т.А.</w:t>
      </w:r>
    </w:p>
    <w:p>
      <w:pPr>
        <w:contextualSpacing w:val="true"/>
        <w:spacing w:after="0" w:line="240" w:lineRule="auto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В Федеральных государственных образовательных стандартах дошкольного образования  выделена область «Речевое развитие». Данная область подчеркивает основную функцию речи – как средство общения и культуры, обогащения активного словаря, </w:t>
      </w:r>
      <w:hyperlink w:history="1" r:id="rId5">
        <w:r>
          <w:rPr>
            <w:rFonts w:ascii="Times New Roman" w:cs="Times New Roman" w:eastAsia="Times New Roman" w:hAnsi="Times New Roman"/>
            <w:lang w:bidi="ar-sa" w:eastAsia="ru-ru"/>
            <w:bdr w:val="none" w:sz="0" w:space="0" w:color="auto"/>
          </w:rPr>
          <w:t>развитие связной</w:t>
        </w:r>
      </w:hyperlink>
      <w:r>
        <w:rPr>
          <w:rFonts w:ascii="Times New Roman" w:cs="Times New Roman" w:eastAsia="Times New Roman" w:hAnsi="Times New Roman"/>
          <w:lang w:bidi="ar-sa" w:eastAsia="ru-ru"/>
        </w:rPr>
        <w:t xml:space="preserve">, </w:t>
      </w:r>
      <w:r>
        <w:rPr>
          <w:color w:val="111111"/>
          <w:rFonts w:ascii="Times New Roman" w:cs="Times New Roman" w:eastAsia="Times New Roman" w:hAnsi="Times New Roman"/>
          <w:lang w:bidi="ar-sa" w:eastAsia="ru-ru"/>
        </w:rPr>
        <w:t>грамматически правильной диалогической и монологической речи, развитие речевого творчества, звуковой и интонационной культуры речи, фонематического слуха; знакомство с книжной культурой; формирование звуковой аналитико-синтетической активности как предпосылки обучения грамоте.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Речевая развивающая среда создаёт благоприятные условия для формирования речевых умений и навыков детей не только в специально организованном обучении родному языку и речи, но и в самостоятельной деятельности, становится основой для самостоятельной речевой деятельности. Правильное создание речевой развивающей среды способствует развитию коммуникативных навыков, связной, диалогической речи и помогает адаптироваться ребенку в окружающем мире и социальной действительности.</w:t>
      </w:r>
    </w:p>
    <w:p>
      <w:pPr>
        <w:contextualSpacing w:val="true"/>
        <w:outlineLvl w:val="3"/>
        <w:spacing w:after="0" w:line="240" w:lineRule="auto"/>
        <w:shd w:val="clear" w:color="auto" w:fill="FFFFFF"/>
        <w:rPr>
          <w:rFonts w:ascii="Times New Roman" w:cs="Times New Roman" w:eastAsia="Times New Roman" w:hAnsi="Times New Roman"/>
          <w:lang w:eastAsia="ru-ru"/>
        </w:rPr>
      </w:pPr>
      <w:r>
        <w:rPr>
          <w:rFonts w:ascii="Times New Roman" w:cs="Times New Roman" w:eastAsia="Times New Roman" w:hAnsi="Times New Roman"/>
          <w:lang w:bidi="ar-sa" w:eastAsia="ru-ru"/>
        </w:rPr>
        <w:t>Речевая развивающая среда (в соответствии с ФГОС)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– это естественная комфортабельная уютная обстановка, рационально организованная, насыщенная разнообразными сенсорными раздражителями и игровыми материалами.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Можно выделить следующие задачи построения речевой развивающей среды: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 xml:space="preserve">1. Обеспечение возможности восприятия и наблюдения за правильной речью. 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 xml:space="preserve">2. Обеспечение богатства сенсорных впечатлений. 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 xml:space="preserve">3. Обеспечение возможности самостоятельной индивидуальной речевой деятельности ребенка. 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 xml:space="preserve">4. Обеспечение комфортного состояния ребенка в проявлении речевых реакций. 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5. Обеспечение возможности для исследования и экспериментирования в языковой системе.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На основе анализа психолого-педагогических исследований, в качестве основных составляющих речевой развивающей среды ДОУ выделяем следующие: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• речь педагога ДОУ;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• методы и приёмы руководства речевым развитием разных сторон речи детей дошкольного возраста;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• специальное оборудование каждой возрастной группы.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Речь педагога – отражение внутреннего мира, особенностей интеллектуального и духовного развития его личности, важная часть профессиональной культуры. Речь педагога должна отвечать следующим качествам: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1). ПРАВИЛЬНОСТЬ; т. е. соответствие языковым нормам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2). ТОЧНОСТЬ; точная речь – это речь, в которой адекватно отражается действительность и однозначно обозначено словом то, что должно быть сказано.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3). ЛОГИЧНОСТЬ; наличие в высказывании трех смыслообразующих компонентов: начало, основная часть и конец высказывания.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4). ЧИСТОТА; т. е. отсутствие в речи элементов, чуждых литературному языку. (слова паразиты)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5). ВЫРАЗИТЕЛЬНОСТЬ – это особенность речи, захватывающая внимание и интерес, создающая атмосферу эмоционального сопереживания.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bidi="ar-sa" w:eastAsia="ru-ru"/>
        </w:rPr>
        <w:t>6). БОГАТСТВО – о нём судят по количеству слов и их смысловой насыщенности и сложности предложений. Богатство речи напрямую связано с уровнем общей культуры, эрудицией, начитанностью.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eastAsia="ru-ru"/>
        </w:rPr>
        <w:t>7). УМЕСТНОСТЬ; т. е. употребление в речи единиц, соответствующих ситуации и условиям общения.</w:t>
      </w:r>
    </w:p>
    <w:p>
      <w:pPr>
        <w:contextualSpacing w:val="true"/>
        <w:spacing w:after="225" w:before="225" w:line="240" w:lineRule="auto"/>
        <w:ind w:firstLine="360"/>
        <w:shd w:val="clear" w:color="auto" w:fill="FFFFFF"/>
        <w:rPr>
          <w:color w:val="111111"/>
          <w:rFonts w:ascii="Times New Roman" w:cs="Times New Roman" w:eastAsia="Times New Roman" w:hAnsi="Times New Roman"/>
          <w:lang w:eastAsia="ru-ru"/>
        </w:rPr>
      </w:pPr>
      <w:r>
        <w:rPr>
          <w:color w:val="111111"/>
          <w:rFonts w:ascii="Times New Roman" w:cs="Times New Roman" w:eastAsia="Times New Roman" w:hAnsi="Times New Roman"/>
          <w:lang w:eastAsia="ru-ru"/>
        </w:rPr>
        <w:t>Организация речевой среды в ДОУ несёт эффективность воспитательного воздействия, направленного на формирование у детей активного познавательного отношения не только к окружающему миру предметов, людей, природы, но и к системе родного языка, формируя тем самым у них элементарное осознание явлений родного языка и речи.</w:t>
      </w:r>
    </w:p>
    <w:sectPr>
      <w:pgSz w:w="11906" w:h="16838" w:orient="portrait"/>
      <w:pgMar w:bottom="1134" w:top="1134" w:right="850" w:left="1701" w:header="708" w:footer="708" w:gutter="0"/>
      <w:pgBorders w:offsetFrom="page">
        <w:left w:val="swirligig" w:sz="10" w:space="24" w:color="auto"/>
        <w:right w:val="swirligig" w:sz="10" w:space="24" w:color="auto"/>
        <w:bottom w:val="swirligig" w:sz="10" w:space="24" w:color="auto"/>
        <w:top w:val="swirligig" w:sz="10" w:space="24" w:color="auto"/>
      </w:pgBorders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notTrueType w:val="tru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B6"/>
    <w:rsid w:val="009304B6"/>
    <w:rsid w:val="009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vayushhaya-sre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7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Aser_13-10-2021</dc:creator>
  <cp:keywords/>
  <dc:description/>
  <cp:lastModifiedBy>Aser_13-10-2021</cp:lastModifiedBy>
  <cp:revision>1</cp:revision>
  <dcterms:created xsi:type="dcterms:W3CDTF">2023-10-10T17:18:00Z</dcterms:created>
  <dcterms:modified xsi:type="dcterms:W3CDTF">2023-10-10T17:24:00Z</dcterms:modified>
</cp:coreProperties>
</file>